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DPIA template: Academy trust</w:t>
      </w:r>
    </w:p>
    <w:p>
      <w:pPr>
        <w:pStyle w:val="Subtitle"/>
      </w:pPr>
      <w:r>
        <w:t>Sendix · Based on DPA v1.4, DPIA v0.7 and the controller DPIA sections approved 12 October 2026 · November 2026</w:t>
      </w:r>
    </w:p>
    <w:p>
      <w:pPr>
        <w:pBdr>
          <w:top w:val="single" w:sz="6" w:space="3" w:color="0b3a2b"/>
          <w:left w:val="single" w:sz="6" w:space="3" w:color="0b3a2b"/>
          <w:bottom w:val="single" w:sz="6" w:space="3" w:color="0b3a2b"/>
          <w:right w:val="single" w:sz="6" w:space="3" w:color="0b3a2b"/>
        </w:pBdr>
        <w:shd w:val="clear" w:color="auto" w:fill="e4f0e5"/>
        <w:spacing w:before="80" w:after="200"/>
      </w:pPr>
      <w:r>
        <w:rPr>
          <w:b/>
          <w:color w:val="0B3A2B"/>
          <w:sz w:val="17"/>
        </w:rPr>
        <w:t>Template · your DPO decides</w:t>
      </w:r>
    </w:p>
    <w:p>
      <w:pPr>
        <w:pBdr>
          <w:top w:val="single" w:sz="4" w:space="4" w:color="e4f0e5"/>
          <w:left w:val="single" w:sz="4" w:space="4" w:color="e4f0e5"/>
          <w:bottom w:val="single" w:sz="4" w:space="4" w:color="e4f0e5"/>
          <w:right w:val="single" w:sz="4" w:space="4" w:color="e4f0e5"/>
        </w:pBdr>
        <w:shd w:val="clear" w:color="auto" w:fill="e4f0e5"/>
        <w:spacing w:after="160"/>
      </w:pPr>
      <w:r>
        <w:rPr>
          <w:b/>
          <w:color w:val="3F5348"/>
          <w:sz w:val="18"/>
        </w:rPr>
        <w:t>Template, 6 November 2026.</w:t>
      </w:r>
      <w:r>
        <w:rPr>
          <w:color w:val="3F5348"/>
          <w:sz w:val="18"/>
        </w:rPr>
        <w:t xml:space="preserve"> Sendix AI Ltd (the processor) has written this to save you time. It is not legal advice: your DPO decides. It follows DPA v1.4. Sendix's own sections of the DPIA (v0.7, approved 6 November 2026 as a provisional processor assessment, with consultation outstanding, and the Scotland addition, approved 12 October 2026) are available on request from privacy@sendix.ai. Fill in every </w:t>
      </w:r>
      <w:r>
        <w:rPr>
          <w:b/>
          <w:color w:val="3F5348"/>
          <w:sz w:val="18"/>
        </w:rPr>
        <w:t>[bracket]</w:t>
      </w:r>
      <w:r>
        <w:rPr>
          <w:color w:val="3F5348"/>
          <w:sz w:val="18"/>
        </w:rPr>
        <w:t>.</w:t>
      </w:r>
    </w:p>
    <w:p>
      <w:pPr>
        <w:pStyle w:val="Heading2"/>
      </w:pPr>
      <w:r>
        <w:t>1. Who is the controller, and who signs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Controller</w:t>
            </w:r>
          </w:p>
        </w:tc>
        <w:tc>
          <w:tcPr>
            <w:tcW w:type="dxa" w:w="4819"/>
            <w:shd w:val="clear" w:color="auto" w:fill="f2f0e6"/>
          </w:tcPr>
          <w:p>
            <w:pPr>
              <w:spacing w:after="0"/>
            </w:pPr>
            <w:r>
              <w:rPr>
                <w:b/>
                <w:color w:val="0B3A2B"/>
                <w:sz w:val="18"/>
              </w:rPr>
              <w:t>The academy trust. It is the controller for every academy and free school in the trust, so the trust completes one DPIA that covers all of its schools using Sendix.</w:t>
            </w:r>
          </w:p>
        </w:tc>
      </w:tr>
      <w:tr>
        <w:tc>
          <w:tcPr>
            <w:tcW w:type="dxa" w:w="4819"/>
          </w:tcPr>
          <w:p>
            <w:pPr>
              <w:spacing w:after="0"/>
            </w:pPr>
            <w:r>
              <w:rPr>
                <w:b/>
                <w:sz w:val="18"/>
              </w:rPr>
              <w:t>Who signs this DPIA</w:t>
            </w:r>
          </w:p>
        </w:tc>
        <w:tc>
          <w:tcPr>
            <w:tcW w:type="dxa" w:w="4819"/>
          </w:tcPr>
          <w:p>
            <w:pPr>
              <w:spacing w:after="0"/>
            </w:pPr>
            <w:r>
              <w:rPr>
                <w:sz w:val="18"/>
              </w:rPr>
              <w:t>The trust: its accounting officer, chief operating officer or another person the trust board has authorised. The trust's DPO gives advice and records it. A SENCO or head of school does not sign for the trust unless the trust has authorised them in writing.</w:t>
            </w:r>
          </w:p>
        </w:tc>
      </w:tr>
      <w:tr>
        <w:tc>
          <w:tcPr>
            <w:tcW w:type="dxa" w:w="4819"/>
          </w:tcPr>
          <w:p>
            <w:pPr>
              <w:spacing w:after="0"/>
            </w:pPr>
            <w:r>
              <w:rPr>
                <w:b/>
                <w:sz w:val="18"/>
              </w:rPr>
              <w:t>Who signs the DPA with Sendix</w:t>
            </w:r>
          </w:p>
        </w:tc>
        <w:tc>
          <w:tcPr>
            <w:tcW w:type="dxa" w:w="4819"/>
          </w:tcPr>
          <w:p>
            <w:pPr>
              <w:spacing w:after="0"/>
            </w:pPr>
            <w:r>
              <w:rPr>
                <w:sz w:val="18"/>
              </w:rPr>
              <w:t>The trust signs the DPA once, in the Sendix app, for all its academies.</w:t>
            </w:r>
          </w:p>
        </w:tc>
      </w:tr>
      <w:tr>
        <w:tc>
          <w:tcPr>
            <w:tcW w:type="dxa" w:w="4819"/>
          </w:tcPr>
          <w:p>
            <w:pPr>
              <w:spacing w:after="0"/>
            </w:pPr>
            <w:r>
              <w:rPr>
                <w:sz w:val="18"/>
              </w:rPr>
              <w:t>Controller name and address</w:t>
            </w:r>
          </w:p>
        </w:tc>
        <w:tc>
          <w:tcPr>
            <w:tcW w:type="dxa" w:w="4819"/>
          </w:tcPr>
          <w:p>
            <w:pPr>
              <w:spacing w:after="0"/>
            </w:pPr>
            <w:r>
              <w:rPr>
                <w:b/>
                <w:sz w:val="18"/>
              </w:rPr>
              <w:t>[name, address]</w:t>
            </w:r>
          </w:p>
        </w:tc>
      </w:tr>
      <w:tr>
        <w:tc>
          <w:tcPr>
            <w:tcW w:type="dxa" w:w="4819"/>
          </w:tcPr>
          <w:p>
            <w:pPr>
              <w:spacing w:after="0"/>
            </w:pPr>
            <w:r>
              <w:rPr>
                <w:sz w:val="18"/>
              </w:rPr>
              <w:t>Controller ICO registration</w:t>
            </w:r>
          </w:p>
        </w:tc>
        <w:tc>
          <w:tcPr>
            <w:tcW w:type="dxa" w:w="4819"/>
          </w:tcPr>
          <w:p>
            <w:pPr>
              <w:spacing w:after="0"/>
            </w:pPr>
            <w:r>
              <w:rPr>
                <w:b/>
                <w:sz w:val="18"/>
              </w:rPr>
              <w:t>[number]</w:t>
            </w:r>
          </w:p>
        </w:tc>
      </w:tr>
      <w:tr>
        <w:tc>
          <w:tcPr>
            <w:tcW w:type="dxa" w:w="4819"/>
          </w:tcPr>
          <w:p>
            <w:pPr>
              <w:spacing w:after="0"/>
            </w:pPr>
            <w:r>
              <w:rPr>
                <w:sz w:val="18"/>
              </w:rPr>
              <w:t>Controller DPO</w:t>
            </w:r>
          </w:p>
        </w:tc>
        <w:tc>
          <w:tcPr>
            <w:tcW w:type="dxa" w:w="4819"/>
          </w:tcPr>
          <w:p>
            <w:pPr>
              <w:spacing w:after="0"/>
            </w:pPr>
            <w:r>
              <w:rPr>
                <w:b/>
                <w:sz w:val="18"/>
              </w:rPr>
              <w:t>[name and contact]</w:t>
            </w:r>
          </w:p>
        </w:tc>
      </w:tr>
      <w:tr>
        <w:tc>
          <w:tcPr>
            <w:tcW w:type="dxa" w:w="4819"/>
          </w:tcPr>
          <w:p>
            <w:pPr>
              <w:spacing w:after="0"/>
            </w:pPr>
            <w:r>
              <w:rPr>
                <w:sz w:val="18"/>
              </w:rPr>
              <w:t>Processor</w:t>
            </w:r>
          </w:p>
        </w:tc>
        <w:tc>
          <w:tcPr>
            <w:tcW w:type="dxa" w:w="4819"/>
          </w:tcPr>
          <w:p>
            <w:pPr>
              <w:spacing w:after="0"/>
            </w:pPr>
            <w:r>
              <w:rPr>
                <w:sz w:val="18"/>
              </w:rPr>
              <w:t>Sendix AI Ltd, SC883770, ICO ZC264381, privacy@sendix.ai</w:t>
            </w:r>
          </w:p>
        </w:tc>
      </w:tr>
    </w:tbl>
    <w:p>
      <w:pPr>
        <w:spacing w:after="40"/>
      </w:pPr>
    </w:p>
    <w:p>
      <w:pPr>
        <w:pStyle w:val="Heading2"/>
      </w:pPr>
      <w:r>
        <w:t>2. What the processing is</w:t>
      </w:r>
    </w:p>
    <w:p>
      <w:pPr>
        <w:pStyle w:val="ListBullet"/>
      </w:pPr>
      <w:r>
        <w:rPr>
          <w:b/>
        </w:rPr>
        <w:t>Purpose.</w:t>
      </w:r>
      <w:r>
        <w:t xml:space="preserve"> Staff upload EHCPs.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most written dates, and discards EHCP health and social care sections (C, D, G and H) from plan text.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t>3. Lawful basis</w:t>
      </w:r>
    </w:p>
    <w:p>
      <w:pPr>
        <w:pStyle w:val="ListBullet"/>
      </w:pPr>
      <w:r>
        <w:rPr>
          <w:b/>
        </w:rPr>
        <w:t>Article 6:</w:t>
      </w:r>
      <w:r>
        <w:t xml:space="preserve"> 6(1)(e) public task, to carry out the trust's duties under the Children and Families Act 2014 and the SEND Code of Practice 2015, through the academies' funding agreements.</w:t>
      </w:r>
    </w:p>
    <w:p>
      <w:pPr>
        <w:pStyle w:val="ListBullet"/>
      </w:pPr>
      <w:r>
        <w:rPr>
          <w:b/>
        </w:rPr>
        <w:t>Article 9:</w:t>
      </w:r>
      <w:r>
        <w:t xml:space="preserve"> 9(2)(g) substantial public interest, with Data Protection Act 2018, Schedule 1, paragraph 6 (statutory and government purposes). Your Appropriate Policy Document covers this processing: </w:t>
      </w:r>
      <w:r>
        <w:rPr>
          <w:b/>
        </w:rPr>
        <w:t>[reference]</w:t>
      </w:r>
      <w:r>
        <w:t>.</w:t>
      </w:r>
    </w:p>
    <w:p>
      <w:r>
        <w:rPr>
          <w:b/>
        </w:rPr>
        <w:t>Necessity.</w:t>
      </w:r>
      <w:r>
        <w:t xml:space="preserve"> Sendix supports a review you already carry out. Only the parts of the plan the review needs are kept, identifiers are removed first, and staff decide every change.</w:t>
      </w:r>
    </w:p>
    <w:p>
      <w:pPr>
        <w:pStyle w:val="Heading2"/>
      </w:pPr>
      <w: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Academy trusts are public authorities for freedom of information. The trust consults Sendix before releasing anything Sendix supplied in confidence.</w:t>
      </w:r>
    </w:p>
    <w:p>
      <w:pPr>
        <w:pStyle w:val="Heading2"/>
      </w:pPr>
      <w:r>
        <w:t>5. Risks and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Someone outside your school reads plan text</w:t>
            </w:r>
          </w:p>
        </w:tc>
        <w:tc>
          <w:tcPr>
            <w:tcW w:type="dxa" w:w="2409"/>
          </w:tcPr>
          <w:p>
            <w:pPr>
              <w:spacing w:after="0"/>
            </w:pPr>
            <w:r>
              <w:rPr>
                <w:sz w:val="18"/>
              </w:rPr>
              <w:t>Per-school access checked in code and tested every build; MFA for SENCO and SEND lead accounts; UK hosting. Sendix's independent penetration test is not yet done (booked for January 2027): until it is complete, Sendix releases real pupil data to no more than 3 organisations, each only with a Cyber Essentials certificate held, cross-school tests passing and your DPO's written acceptance of this risk</w:t>
            </w:r>
          </w:p>
        </w:tc>
        <w:tc>
          <w:tcPr>
            <w:tcW w:type="dxa" w:w="2409"/>
          </w:tcPr>
          <w:p>
            <w:pPr>
              <w:spacing w:after="0"/>
            </w:pPr>
            <w:r>
              <w:rPr>
                <w:sz w:val="18"/>
              </w:rPr>
              <w:t>Remove leavers promptly; staff keep MFA</w:t>
            </w:r>
          </w:p>
        </w:tc>
        <w:tc>
          <w:tcPr>
            <w:tcW w:type="dxa" w:w="2409"/>
          </w:tcPr>
          <w:p>
            <w:pPr>
              <w:spacing w:after="0"/>
            </w:pPr>
            <w:r>
              <w:rPr>
                <w:b/>
                <w:sz w:val="18"/>
              </w:rPr>
              <w:t>[Low / Medium]</w:t>
            </w:r>
          </w:p>
        </w:tc>
      </w:tr>
      <w:tr>
        <w:tc>
          <w:tcPr>
            <w:tcW w:type="dxa" w:w="2409"/>
          </w:tcPr>
          <w:p>
            <w:pPr>
              <w:spacing w:after="0"/>
            </w:pPr>
            <w:r>
              <w:rPr>
                <w:sz w:val="18"/>
              </w:rPr>
              <w:t>Re-identification from stored text</w:t>
            </w:r>
          </w:p>
        </w:tc>
        <w:tc>
          <w:tcPr>
            <w:tcW w:type="dxa" w:w="2409"/>
          </w:tcPr>
          <w:p>
            <w:pPr>
              <w:spacing w:after="0"/>
            </w:pPr>
            <w:r>
              <w:rPr>
                <w:sz w:val="18"/>
              </w:rPr>
              <w:t>Identifiers removed; health and social care sections discarded; best-effort name redaction</w:t>
            </w:r>
          </w:p>
        </w:tc>
        <w:tc>
          <w:tcPr>
            <w:tcW w:type="dxa" w:w="2409"/>
          </w:tcPr>
          <w:p>
            <w:pPr>
              <w:spacing w:after="0"/>
            </w:pPr>
            <w:r>
              <w:rPr>
                <w:sz w:val="18"/>
              </w:rPr>
              <w:t>Upload the plan only, not assessment packs or chronologies</w:t>
            </w:r>
          </w:p>
        </w:tc>
        <w:tc>
          <w:tcPr>
            <w:tcW w:type="dxa" w:w="2409"/>
          </w:tcPr>
          <w:p>
            <w:pPr>
              <w:spacing w:after="0"/>
            </w:pPr>
            <w:r>
              <w:rPr>
                <w:b/>
                <w:sz w:val="18"/>
              </w:rPr>
              <w:t>[Low / Medium]</w:t>
            </w:r>
          </w:p>
        </w:tc>
      </w:tr>
      <w:tr>
        <w:tc>
          <w:tcPr>
            <w:tcW w:type="dxa" w:w="2409"/>
          </w:tcPr>
          <w:p>
            <w:pPr>
              <w:spacing w:after="0"/>
            </w:pPr>
            <w:r>
              <w:rPr>
                <w:sz w:val="18"/>
              </w:rPr>
              <w:t>A suggestion is wrong and is relied on</w:t>
            </w:r>
          </w:p>
        </w:tc>
        <w:tc>
          <w:tcPr>
            <w:tcW w:type="dxa" w:w="2409"/>
          </w:tcPr>
          <w:p>
            <w:pPr>
              <w:spacing w:after="0"/>
            </w:pPr>
            <w:r>
              <w:rPr>
                <w:sz w:val="18"/>
              </w:rPr>
              <w:t>Every flag cites its basis; suggestions use only evidence in the file; staff decide every change</w:t>
            </w:r>
          </w:p>
        </w:tc>
        <w:tc>
          <w:tcPr>
            <w:tcW w:type="dxa" w:w="2409"/>
          </w:tcPr>
          <w:p>
            <w:pPr>
              <w:spacing w:after="0"/>
            </w:pPr>
            <w:r>
              <w:rPr>
                <w:sz w:val="18"/>
              </w:rPr>
              <w:t>Staff check each finding before acting on it</w:t>
            </w:r>
          </w:p>
        </w:tc>
        <w:tc>
          <w:tcPr>
            <w:tcW w:type="dxa" w:w="2409"/>
          </w:tcPr>
          <w:p>
            <w:pPr>
              <w:spacing w:after="0"/>
            </w:pPr>
            <w:r>
              <w:rPr>
                <w:b/>
                <w:sz w:val="18"/>
              </w:rPr>
              <w:t>[Low]</w:t>
            </w:r>
          </w:p>
        </w:tc>
      </w:tr>
      <w:tr>
        <w:tc>
          <w:tcPr>
            <w:tcW w:type="dxa" w:w="2409"/>
          </w:tcPr>
          <w:p>
            <w:pPr>
              <w:spacing w:after="0"/>
            </w:pPr>
            <w:r>
              <w:rPr>
                <w:sz w:val="18"/>
              </w:rPr>
              <w:t>Data kept too long</w:t>
            </w:r>
          </w:p>
        </w:tc>
        <w:tc>
          <w:tcPr>
            <w:tcW w:type="dxa" w:w="2409"/>
          </w:tcPr>
          <w:p>
            <w:pPr>
              <w:spacing w:after="0"/>
            </w:pPr>
            <w:r>
              <w:rPr>
                <w:sz w:val="18"/>
              </w:rPr>
              <w:t>A daily job deletes records when your retention period ends; backups within 35 days</w:t>
            </w:r>
          </w:p>
        </w:tc>
        <w:tc>
          <w:tcPr>
            <w:tcW w:type="dxa" w:w="2409"/>
          </w:tcPr>
          <w:p>
            <w:pPr>
              <w:spacing w:after="0"/>
            </w:pPr>
            <w:r>
              <w:rPr>
                <w:sz w:val="18"/>
              </w:rPr>
              <w:t xml:space="preserve">Set your retention period in Sendix: </w:t>
            </w:r>
            <w:r>
              <w:rPr>
                <w:b/>
                <w:sz w:val="18"/>
              </w:rPr>
              <w:t>[days]</w:t>
            </w:r>
          </w:p>
        </w:tc>
        <w:tc>
          <w:tcPr>
            <w:tcW w:type="dxa" w:w="2409"/>
          </w:tcPr>
          <w:p>
            <w:pPr>
              <w:spacing w:after="0"/>
            </w:pPr>
            <w:r>
              <w:rPr>
                <w:b/>
                <w:sz w:val="18"/>
              </w:rPr>
              <w:t>[Low]</w:t>
            </w:r>
          </w:p>
        </w:tc>
      </w:tr>
      <w:tr>
        <w:tc>
          <w:tcPr>
            <w:tcW w:type="dxa" w:w="2409"/>
          </w:tcPr>
          <w:p>
            <w:pPr>
              <w:spacing w:after="0"/>
            </w:pPr>
            <w:r>
              <w:rPr>
                <w:sz w:val="18"/>
              </w:rPr>
              <w:t>Breach at Sendix</w:t>
            </w:r>
          </w:p>
        </w:tc>
        <w:tc>
          <w:tcPr>
            <w:tcW w:type="dxa" w:w="2409"/>
          </w:tcPr>
          <w:p>
            <w:pPr>
              <w:spacing w:after="0"/>
            </w:pPr>
            <w:r>
              <w:rPr>
                <w:sz w:val="18"/>
              </w:rPr>
              <w:t>Notice to you within 24 hours (DPA clause 7.1)</w:t>
            </w:r>
          </w:p>
        </w:tc>
        <w:tc>
          <w:tcPr>
            <w:tcW w:type="dxa" w:w="2409"/>
          </w:tcPr>
          <w:p>
            <w:pPr>
              <w:spacing w:after="0"/>
            </w:pPr>
            <w:r>
              <w:rPr>
                <w:sz w:val="18"/>
              </w:rPr>
              <w:t>Your breach procedure covers processors</w:t>
            </w:r>
          </w:p>
        </w:tc>
        <w:tc>
          <w:tcPr>
            <w:tcW w:type="dxa" w:w="2409"/>
          </w:tcPr>
          <w:p>
            <w:pPr>
              <w:spacing w:after="0"/>
            </w:pPr>
            <w:r>
              <w:rPr>
                <w:b/>
                <w:sz w:val="18"/>
              </w:rPr>
              <w:t>[Low / Medium]</w:t>
            </w:r>
          </w:p>
        </w:tc>
      </w:tr>
    </w:tbl>
    <w:p>
      <w:pPr>
        <w:spacing w:after="40"/>
      </w:pPr>
    </w:p>
    <w:p>
      <w:pPr>
        <w:pStyle w:val="Heading2"/>
      </w:pPr>
      <w:r>
        <w:t>5a. Review preparation (England EHCPs, only if you switch it on)</w:t>
      </w:r>
    </w:p>
    <w:p>
      <w:r>
        <w:t>Delete this section if you do not use review preparation. It needs a countersigned DPA v1.4 and your organisation's release.</w:t>
      </w:r>
    </w:p>
    <w:p>
      <w:pPr>
        <w:pStyle w:val="ListBullet"/>
      </w:pPr>
      <w:r>
        <w:rPr>
          <w:b/>
        </w:rPr>
        <w:t>What happens.</w:t>
      </w:r>
      <w:r>
        <w:t xml:space="preserve"> Staff add reports, parent and child views and what they know about the child's progress. Staff weigh the evidence against each outcome, record their own status and reason, and download a write-up. Sendix sends nothing to anyone.</w:t>
      </w:r>
    </w:p>
    <w:p>
      <w:pPr>
        <w:pStyle w:val="ListBullet"/>
      </w:pPr>
      <w:r>
        <w:rPr>
          <w:b/>
        </w:rPr>
        <w:t>Data.</w:t>
      </w:r>
      <w:r>
        <w:t xml:space="preserve"> Whole reports, encrypted at field level, which can include health, family and social care information. The section discard does not apply: an EHCP uploaded or pasted through this route keeps its filtered C, D, G and H text. Staff add only what the review needs.</w:t>
      </w:r>
    </w:p>
    <w:p>
      <w:pPr>
        <w:pStyle w:val="ListBullet"/>
      </w:pPr>
      <w:r>
        <w:rPr>
          <w:b/>
        </w:rPr>
        <w:t>The filter.</w:t>
      </w:r>
      <w:r>
        <w:t xml:space="preserve"> It removes the child's name, recognised identifier patterns and labelled full dates of birth, and keeps other dates. LA case references and identifiers in unrecognised forms may remain, so staff exclude unnecessary identifiers.</w:t>
      </w:r>
    </w:p>
    <w:p>
      <w:pPr>
        <w:pStyle w:val="ListBullet"/>
      </w:pPr>
      <w:r>
        <w:rPr>
          <w:b/>
        </w:rPr>
        <w:t>AI analysis</w:t>
      </w:r>
      <w:r>
        <w:t xml:space="preserve"> is off for real pupil data, and stays off until Sendix's founder records a release decision after an evaluation labelled by a SENCO. Before it is used, you assess meaningful human involvement under UK GDPR Articles 22A–22D. Staff must actively select a quote the model found before it reaches the write-up, a requirement in force before release.</w:t>
      </w:r>
    </w:p>
    <w:p>
      <w:pPr>
        <w:pStyle w:val="ListBullet"/>
      </w:pPr>
      <w:r>
        <w:rPr>
          <w:b/>
        </w:rPr>
        <w:t>Reports written by others.</w:t>
      </w:r>
      <w:r>
        <w:t xml:space="preserve"> Holding a third-party report does not itself authorise AI processing. Confirm you may use each report for this purpose: </w:t>
      </w:r>
      <w:r>
        <w:rPr>
          <w:b/>
        </w:rPr>
        <w:t>[reference]</w:t>
      </w:r>
      <w:r>
        <w:t>.</w:t>
      </w:r>
    </w:p>
    <w:p>
      <w:pPr>
        <w:pStyle w:val="ListBullet"/>
      </w:pPr>
      <w:r>
        <w:rPr>
          <w:b/>
        </w:rPr>
        <w:t>Children and young people.</w:t>
      </w:r>
      <w:r>
        <w:t xml:space="preserve"> Give accessible information, and plan for requests they make themselves and for third-party information in anything you disclose: </w:t>
      </w:r>
      <w:r>
        <w:rPr>
          <w:b/>
        </w:rPr>
        <w:t>[reference]</w:t>
      </w:r>
      <w:r>
        <w:t>.</w:t>
      </w:r>
    </w:p>
    <w:p>
      <w:pPr>
        <w:pStyle w:val="ListBullet"/>
      </w:pPr>
      <w:r>
        <w:rPr>
          <w:b/>
        </w:rPr>
        <w:t>Retention.</w:t>
      </w:r>
      <w:r>
        <w:t xml:space="preserve"> Where retention enforcement is on, evidence passages are deleted 30 days after a review is finalised or cancelled, or 180 days after the latest activity on an open review. An active legal hold pauses this. Saved quotes stay with the plan.</w:t>
      </w:r>
    </w:p>
    <w:p>
      <w:pPr>
        <w:pStyle w:val="ListBullet"/>
      </w:pPr>
      <w:r>
        <w:rPr>
          <w:b/>
        </w:rPr>
        <w:t>Pupil display names</w:t>
      </w:r>
      <w:r>
        <w:t xml:space="preserve"> are optional, off by default and switched on per school by you, in effect once built. The AI model never receives the name. </w:t>
      </w:r>
      <w:r>
        <w:rPr>
          <w:b/>
        </w:rPr>
        <w:t>[On / off for each school]</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Reports hold more than the review needs</w:t>
            </w:r>
          </w:p>
        </w:tc>
        <w:tc>
          <w:tcPr>
            <w:tcW w:type="dxa" w:w="2409"/>
          </w:tcPr>
          <w:p>
            <w:pPr>
              <w:spacing w:after="0"/>
            </w:pPr>
            <w:r>
              <w:rPr>
                <w:sz w:val="18"/>
              </w:rPr>
              <w:t>Filter; field encryption; bounded retention; staff can delete a passage</w:t>
            </w:r>
          </w:p>
        </w:tc>
        <w:tc>
          <w:tcPr>
            <w:tcW w:type="dxa" w:w="2409"/>
          </w:tcPr>
          <w:p>
            <w:pPr>
              <w:spacing w:after="0"/>
            </w:pPr>
            <w:r>
              <w:rPr>
                <w:sz w:val="18"/>
              </w:rPr>
              <w:t>Staff add only what the review needs</w:t>
            </w:r>
          </w:p>
        </w:tc>
        <w:tc>
          <w:tcPr>
            <w:tcW w:type="dxa" w:w="2409"/>
          </w:tcPr>
          <w:p>
            <w:pPr>
              <w:spacing w:after="0"/>
            </w:pPr>
            <w:r>
              <w:rPr>
                <w:b/>
                <w:sz w:val="18"/>
              </w:rPr>
              <w:t>[Low / Medium]</w:t>
            </w:r>
          </w:p>
        </w:tc>
      </w:tr>
      <w:tr>
        <w:tc>
          <w:tcPr>
            <w:tcW w:type="dxa" w:w="2409"/>
          </w:tcPr>
          <w:p>
            <w:pPr>
              <w:spacing w:after="0"/>
            </w:pPr>
            <w:r>
              <w:rPr>
                <w:sz w:val="18"/>
              </w:rPr>
              <w:t>Staff knowledge holds third-party data</w:t>
            </w:r>
          </w:p>
        </w:tc>
        <w:tc>
          <w:tcPr>
            <w:tcW w:type="dxa" w:w="2409"/>
          </w:tcPr>
          <w:p>
            <w:pPr>
              <w:spacing w:after="0"/>
            </w:pPr>
            <w:r>
              <w:rPr>
                <w:sz w:val="18"/>
              </w:rPr>
              <w:t>Filter on every entry; other names removed best-effort</w:t>
            </w:r>
          </w:p>
        </w:tc>
        <w:tc>
          <w:tcPr>
            <w:tcW w:type="dxa" w:w="2409"/>
          </w:tcPr>
          <w:p>
            <w:pPr>
              <w:spacing w:after="0"/>
            </w:pPr>
            <w:r>
              <w:rPr>
                <w:sz w:val="18"/>
              </w:rPr>
              <w:t>Staff briefing; use roles, not names</w:t>
            </w:r>
          </w:p>
        </w:tc>
        <w:tc>
          <w:tcPr>
            <w:tcW w:type="dxa" w:w="2409"/>
          </w:tcPr>
          <w:p>
            <w:pPr>
              <w:spacing w:after="0"/>
            </w:pPr>
            <w:r>
              <w:rPr>
                <w:b/>
                <w:sz w:val="18"/>
              </w:rPr>
              <w:t>[Low / Medium]</w:t>
            </w:r>
          </w:p>
        </w:tc>
      </w:tr>
      <w:tr>
        <w:tc>
          <w:tcPr>
            <w:tcW w:type="dxa" w:w="2409"/>
          </w:tcPr>
          <w:p>
            <w:pPr>
              <w:spacing w:after="0"/>
            </w:pPr>
            <w:r>
              <w:rPr>
                <w:sz w:val="18"/>
              </w:rPr>
              <w:t>A report about another child is added</w:t>
            </w:r>
          </w:p>
        </w:tc>
        <w:tc>
          <w:tcPr>
            <w:tcW w:type="dxa" w:w="2409"/>
          </w:tcPr>
          <w:p>
            <w:pPr>
              <w:spacing w:after="0"/>
            </w:pPr>
            <w:r>
              <w:rPr>
                <w:sz w:val="18"/>
              </w:rPr>
              <w:t>A labelled name must match the name staff typed; staff read parent and child views</w:t>
            </w:r>
          </w:p>
        </w:tc>
        <w:tc>
          <w:tcPr>
            <w:tcW w:type="dxa" w:w="2409"/>
          </w:tcPr>
          <w:p>
            <w:pPr>
              <w:spacing w:after="0"/>
            </w:pPr>
            <w:r>
              <w:rPr>
                <w:sz w:val="18"/>
              </w:rPr>
              <w:t>Check the child before each upload</w:t>
            </w:r>
          </w:p>
        </w:tc>
        <w:tc>
          <w:tcPr>
            <w:tcW w:type="dxa" w:w="2409"/>
          </w:tcPr>
          <w:p>
            <w:pPr>
              <w:spacing w:after="0"/>
            </w:pPr>
            <w:r>
              <w:rPr>
                <w:b/>
                <w:sz w:val="18"/>
              </w:rPr>
              <w:t>[Low / Medium]</w:t>
            </w:r>
          </w:p>
        </w:tc>
      </w:tr>
    </w:tbl>
    <w:p>
      <w:pPr>
        <w:spacing w:after="40"/>
      </w:pPr>
    </w:p>
    <w:p>
      <w:pPr>
        <w:pStyle w:val="Heading2"/>
      </w:pPr>
      <w:r>
        <w:t>6. Your own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r>
              <w:rPr>
                <w:b/>
                <w:color w:val="0B3A2B"/>
                <w:sz w:val="18"/>
              </w:rPr>
              <w:t>Measure</w:t>
            </w:r>
          </w:p>
        </w:tc>
        <w:tc>
          <w:tcPr>
            <w:tcW w:type="dxa" w:w="3213"/>
            <w:shd w:val="clear" w:color="auto" w:fill="f2f0e6"/>
          </w:tcPr>
          <w:p>
            <w:pPr>
              <w:spacing w:after="0"/>
            </w:pPr>
            <w:r>
              <w:rPr>
                <w:b/>
                <w:color w:val="0B3A2B"/>
                <w:sz w:val="18"/>
              </w:rPr>
              <w:t>Owner</w:t>
            </w:r>
          </w:p>
        </w:tc>
        <w:tc>
          <w:tcPr>
            <w:tcW w:type="dxa" w:w="3213"/>
            <w:shd w:val="clear" w:color="auto" w:fill="f2f0e6"/>
          </w:tcPr>
          <w:p>
            <w:pPr>
              <w:spacing w:after="0"/>
            </w:pPr>
            <w:r>
              <w:rPr>
                <w:b/>
                <w:color w:val="0B3A2B"/>
                <w:sz w:val="18"/>
              </w:rPr>
              <w:t>Done</w:t>
            </w:r>
          </w:p>
        </w:tc>
      </w:tr>
      <w:tr>
        <w:tc>
          <w:tcPr>
            <w:tcW w:type="dxa" w:w="3213"/>
          </w:tcPr>
          <w:p>
            <w:pPr>
              <w:spacing w:after="0"/>
            </w:pPr>
            <w:r>
              <w:rPr>
                <w:sz w:val="18"/>
              </w:rPr>
              <w:t>Privacy notice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Appropriate Policy Document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Retention period set in Sendix</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Staff briefed (upload the plan only; use roles, not names, in notes)</w:t>
            </w:r>
          </w:p>
        </w:tc>
        <w:tc>
          <w:tcPr>
            <w:tcW w:type="dxa" w:w="3213"/>
          </w:tcPr>
          <w:p>
            <w:pPr>
              <w:spacing w:after="0"/>
            </w:pPr>
            <w:r>
              <w:rPr>
                <w:sz w:val="18"/>
              </w:rPr>
              <w:t>SEND lead</w:t>
            </w:r>
          </w:p>
        </w:tc>
        <w:tc>
          <w:tcPr>
            <w:tcW w:type="dxa" w:w="3213"/>
          </w:tcPr>
          <w:p>
            <w:pPr>
              <w:spacing w:after="0"/>
            </w:pPr>
            <w:r>
              <w:rPr>
                <w:b/>
                <w:sz w:val="18"/>
              </w:rPr>
              <w:t>[date]</w:t>
            </w:r>
          </w:p>
        </w:tc>
      </w:tr>
      <w:tr>
        <w:tc>
          <w:tcPr>
            <w:tcW w:type="dxa" w:w="3213"/>
          </w:tcPr>
          <w:p>
            <w:pPr>
              <w:spacing w:after="0"/>
            </w:pPr>
            <w:r>
              <w:rPr>
                <w:sz w:val="18"/>
              </w:rPr>
              <w:t>Review after the first term</w:t>
            </w:r>
          </w:p>
        </w:tc>
        <w:tc>
          <w:tcPr>
            <w:tcW w:type="dxa" w:w="3213"/>
          </w:tcPr>
          <w:p>
            <w:pPr>
              <w:spacing w:after="0"/>
            </w:pPr>
            <w:r>
              <w:rPr>
                <w:sz w:val="18"/>
              </w:rPr>
              <w:t>SEND lead and DPO</w:t>
            </w:r>
          </w:p>
        </w:tc>
        <w:tc>
          <w:tcPr>
            <w:tcW w:type="dxa" w:w="3213"/>
          </w:tcPr>
          <w:p>
            <w:pPr>
              <w:spacing w:after="0"/>
            </w:pPr>
            <w:r>
              <w:rPr>
                <w:b/>
                <w:sz w:val="18"/>
              </w:rPr>
              <w:t>[date]</w:t>
            </w:r>
          </w:p>
        </w:tc>
      </w:tr>
    </w:tbl>
    <w:p>
      <w:pPr>
        <w:spacing w:after="40"/>
      </w:pPr>
    </w:p>
    <w:p>
      <w:pPr>
        <w:pStyle w:val="Heading2"/>
      </w:pPr>
      <w:r>
        <w:t>7. Sign-off</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p>
        </w:tc>
        <w:tc>
          <w:tcPr>
            <w:tcW w:type="dxa" w:w="3213"/>
            <w:shd w:val="clear" w:color="auto" w:fill="f2f0e6"/>
          </w:tcPr>
          <w:p>
            <w:pPr>
              <w:spacing w:after="0"/>
            </w:pPr>
            <w:r>
              <w:rPr>
                <w:b/>
                <w:color w:val="0B3A2B"/>
                <w:sz w:val="18"/>
              </w:rPr>
              <w:t>Name and role</w:t>
            </w:r>
          </w:p>
        </w:tc>
        <w:tc>
          <w:tcPr>
            <w:tcW w:type="dxa" w:w="3213"/>
            <w:shd w:val="clear" w:color="auto" w:fill="f2f0e6"/>
          </w:tcPr>
          <w:p>
            <w:pPr>
              <w:spacing w:after="0"/>
            </w:pPr>
            <w:r>
              <w:rPr>
                <w:b/>
                <w:color w:val="0B3A2B"/>
                <w:sz w:val="18"/>
              </w:rPr>
              <w:t>Date</w:t>
            </w:r>
          </w:p>
        </w:tc>
      </w:tr>
      <w:tr>
        <w:tc>
          <w:tcPr>
            <w:tcW w:type="dxa" w:w="3213"/>
          </w:tcPr>
          <w:p>
            <w:pPr>
              <w:spacing w:after="0"/>
            </w:pPr>
            <w:r>
              <w:rPr>
                <w:sz w:val="18"/>
              </w:rPr>
              <w:t>Measures approved, for the controller</w:t>
            </w:r>
          </w:p>
        </w:tc>
        <w:tc>
          <w:tcPr>
            <w:tcW w:type="dxa" w:w="3213"/>
          </w:tcPr>
          <w:p>
            <w:pPr>
              <w:spacing w:after="0"/>
            </w:pPr>
            <w:r>
              <w:rPr>
                <w:b/>
                <w:sz w:val="18"/>
              </w:rPr>
              <w:t>[see section 1: who signs]</w:t>
            </w:r>
          </w:p>
        </w:tc>
        <w:tc>
          <w:tcPr>
            <w:tcW w:type="dxa" w:w="3213"/>
          </w:tcPr>
          <w:p>
            <w:pPr>
              <w:spacing w:after="0"/>
            </w:pPr>
          </w:p>
        </w:tc>
      </w:tr>
      <w:tr>
        <w:tc>
          <w:tcPr>
            <w:tcW w:type="dxa" w:w="3213"/>
          </w:tcPr>
          <w:p>
            <w:pPr>
              <w:spacing w:after="0"/>
            </w:pPr>
            <w:r>
              <w:rPr>
                <w:sz w:val="18"/>
              </w:rPr>
              <w:t>Residual risks accepted</w:t>
            </w:r>
          </w:p>
        </w:tc>
        <w:tc>
          <w:tcPr>
            <w:tcW w:type="dxa" w:w="3213"/>
          </w:tcPr>
          <w:p>
            <w:pPr>
              <w:spacing w:after="0"/>
            </w:pPr>
            <w:r>
              <w:rPr>
                <w:b/>
                <w:sz w:val="18"/>
              </w:rPr>
              <w:t>[as above]</w:t>
            </w:r>
          </w:p>
        </w:tc>
        <w:tc>
          <w:tcPr>
            <w:tcW w:type="dxa" w:w="3213"/>
          </w:tcPr>
          <w:p>
            <w:pPr>
              <w:spacing w:after="0"/>
            </w:pPr>
          </w:p>
        </w:tc>
      </w:tr>
      <w:tr>
        <w:tc>
          <w:tcPr>
            <w:tcW w:type="dxa" w:w="3213"/>
          </w:tcPr>
          <w:p>
            <w:pPr>
              <w:spacing w:after="0"/>
            </w:pPr>
            <w:r>
              <w:rPr>
                <w:sz w:val="18"/>
              </w:rPr>
              <w:t>DPO advice (and whether it was followed)</w:t>
            </w:r>
          </w:p>
        </w:tc>
        <w:tc>
          <w:tcPr>
            <w:tcW w:type="dxa" w:w="3213"/>
          </w:tcPr>
          <w:p>
            <w:pPr>
              <w:spacing w:after="0"/>
            </w:pPr>
            <w:r>
              <w:rPr>
                <w:b/>
                <w:sz w:val="18"/>
              </w:rPr>
              <w:t>[DPO]</w:t>
            </w:r>
          </w:p>
        </w:tc>
        <w:tc>
          <w:tcPr>
            <w:tcW w:type="dxa" w:w="3213"/>
          </w:tcPr>
          <w:p>
            <w:pPr>
              <w:spacing w:after="0"/>
            </w:pPr>
          </w:p>
        </w:tc>
      </w:tr>
      <w:tr>
        <w:tc>
          <w:tcPr>
            <w:tcW w:type="dxa" w:w="3213"/>
          </w:tcPr>
          <w:p>
            <w:pPr>
              <w:spacing w:after="0"/>
            </w:pPr>
            <w:r>
              <w:rPr>
                <w:sz w:val="18"/>
              </w:rPr>
              <w:t>Next review</w:t>
            </w:r>
          </w:p>
        </w:tc>
        <w:tc>
          <w:tcPr>
            <w:tcW w:type="dxa" w:w="3213"/>
          </w:tcPr>
          <w:p>
            <w:pPr>
              <w:spacing w:after="0"/>
            </w:pPr>
            <w:r>
              <w:rPr>
                <w:sz w:val="18"/>
              </w:rPr>
              <w:t>After the first term, then yearly, and when Sendix notifies a change</w:t>
            </w:r>
          </w:p>
        </w:tc>
        <w:tc>
          <w:tcPr>
            <w:tcW w:type="dxa" w:w="3213"/>
          </w:tcPr>
          <w:p>
            <w:pPr>
              <w:spacing w:after="0"/>
            </w:pPr>
          </w:p>
        </w:tc>
      </w:tr>
    </w:tbl>
    <w:p>
      <w:pPr>
        <w:spacing w:after="40"/>
      </w:pPr>
    </w:p>
    <w:sectPr w:rsidR="00FC693F" w:rsidRPr="0006063C" w:rsidSect="00034616">
      <w:headerReference w:type="first" r:id="rId9"/>
      <w:headerReference w:type="default" r:id="rId10"/>
      <w:footerReference w:type="first" r:id="rId11"/>
      <w:footerReference w:type="default" r:id="rId12"/>
      <w:pgSz w:w="11906" w:h="16838"/>
      <w:pgMar w:top="1247" w:right="1134" w:bottom="1247"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rlow">
    <w:altName w:val="Arial"/>
    <w:charset w:val="00"/>
    <w:family w:val="swiss"/>
    <w:pitch w:val="variable"/>
    <w:embedBold r:id="rId1" w:fontKey="{5892273C-DD1A-4173-A0A8-79ABCA607B67}"/>
  </w:font>
  <w:font w:name="Barlow SemiBold">
    <w:altName w:val="Arial"/>
    <w:charset w:val="00"/>
    <w:family w:val="swiss"/>
    <w:pitch w:val="variable"/>
    <w:embedRegular r:id="rId2" w:fontKey="{DC1CC543-ECEA-4B69-8628-BAB9E05F0C2D}"/>
  </w:font>
  <w:font w:name="Public Sans">
    <w:altName w:val="Arial"/>
    <w:charset w:val="00"/>
    <w:family w:val="swiss"/>
    <w:pitch w:val="variable"/>
    <w:embedRegular r:id="rId3" w:fontKey="{C716FB9C-DF9D-4FD1-AEE4-E09B7C489BAC}"/>
    <w:embedBold r:id="rId4" w:fontKey="{46848932-F537-4FAC-BFDF-25CD5B85071B}"/>
    <w:embedItalic r:id="rId5" w:fontKey="{7A3395ED-16F9-4824-A6DA-AA5C4198230E}"/>
  </w:font>
  <w:font w:name="IBM Plex Mono">
    <w:altName w:val="Consolas"/>
    <w:charset w:val="00"/>
    <w:family w:val="modern"/>
    <w:pitch w:val="fixed"/>
    <w:embedRegular r:id="rId6" w:fontKey="{BDB02918-1BAE-4FDF-A66B-30443BCF2C5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Academy trust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Academy trust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CellMar>
        <w:top w:w="40" w:type="dxa"/>
        <w:left w:w="200" w:type="dxa"/>
        <w:bottom w:w="40" w:type="dxa"/>
        <w:right w:w="200" w:type="dxa"/>
      </w:tblCellMar>
    </w:tblPr>
    <w:tblGrid>
      <w:gridCol w:w="9638"/>
    </w:tblGrid>
    <w:tr>
      <w:tc>
        <w:tcPr>
          <w:tcW w:type="dxa" w:w="9638"/>
          <w:shd w:val="clear" w:color="auto" w:fill="0b3a2b"/>
        </w:tcPr>
        <w:p>
          <w:pPr>
            <w:tabs>
              <w:tab w:pos="9184" w:val="right"/>
            </w:tabs>
            <w:spacing w:before="180" w:after="180"/>
          </w:pPr>
          <w:r>
            <w:drawing>
              <wp:inline xmlns:a="http://schemas.openxmlformats.org/drawingml/2006/main" xmlns:pic="http://schemas.openxmlformats.org/drawingml/2006/picture">
                <wp:extent cx="813450" cy="306000"/>
                <wp:docPr id="1" name="Picture 1"/>
                <wp:cNvGraphicFramePr>
                  <a:graphicFrameLocks noChangeAspect="1"/>
                </wp:cNvGraphicFramePr>
                <a:graphic>
                  <a:graphicData uri="http://schemas.openxmlformats.org/drawingml/2006/picture">
                    <pic:pic>
                      <pic:nvPicPr>
                        <pic:cNvPr id="0" name="wordmark-paper.png"/>
                        <pic:cNvPicPr/>
                      </pic:nvPicPr>
                      <pic:blipFill>
                        <a:blip r:embed="rId1"/>
                        <a:stretch>
                          <a:fillRect/>
                        </a:stretch>
                      </pic:blipFill>
                      <pic:spPr>
                        <a:xfrm>
                          <a:off x="0" y="0"/>
                          <a:ext cx="813450" cy="306000"/>
                        </a:xfrm>
                        <a:prstGeom prst="rect"/>
                      </pic:spPr>
                    </pic:pic>
                  </a:graphicData>
                </a:graphic>
              </wp:inline>
            </w:drawing>
          </w:r>
          <w:r>
            <w:rPr>
              <w:rFonts w:ascii="Barlow SemiBold" w:hAnsi="Barlow SemiBold" w:cs="Barlow SemiBold" w:eastAsia="Barlow SemiBold"/>
              <w:color w:val="E4F0E5"/>
              <w:sz w:val="17"/>
            </w:rPr>
            <w:tab/>
            <w:t>ONBOARDING</w:t>
          </w:r>
        </w:p>
      </w:tc>
    </w:tr>
  </w:tbl>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4" w:color="dce3d8"/>
      </w:pBdr>
    </w:pPr>
    <w:r/>
    <w:r>
      <w:drawing>
        <wp:inline xmlns:a="http://schemas.openxmlformats.org/drawingml/2006/main" xmlns:pic="http://schemas.openxmlformats.org/drawingml/2006/picture">
          <wp:extent cx="430650" cy="162000"/>
          <wp:docPr id="1" name="Picture 1"/>
          <wp:cNvGraphicFramePr>
            <a:graphicFrameLocks noChangeAspect="1"/>
          </wp:cNvGraphicFramePr>
          <a:graphic>
            <a:graphicData uri="http://schemas.openxmlformats.org/drawingml/2006/picture">
              <pic:pic>
                <pic:nvPicPr>
                  <pic:cNvPr id="0" name="wordmark-forest.png"/>
                  <pic:cNvPicPr/>
                </pic:nvPicPr>
                <pic:blipFill>
                  <a:blip r:embed="rId1"/>
                  <a:stretch>
                    <a:fillRect/>
                  </a:stretch>
                </pic:blipFill>
                <pic:spPr>
                  <a:xfrm>
                    <a:off x="0" y="0"/>
                    <a:ext cx="430650" cy="162000"/>
                  </a:xfrm>
                  <a:prstGeom prst="rect"/>
                </pic:spPr>
              </pic:pic>
            </a:graphicData>
          </a:graphic>
        </wp:inline>
      </w:drawing>
    </w:r>
    <w:r>
      <w:rPr>
        <w:color w:val="56685E"/>
        <w:sz w:val="16"/>
      </w:rPr>
      <w:tab/>
      <w:t>DPIA template · Academy trust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ublic Sans" w:hAnsi="Public Sans" w:cs="Public Sans" w:eastAsia="Public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Public Sans" w:hAnsi="Public Sans" w:cs="Public Sans" w:eastAsia="Public Sans"/>
      <w:b w:val="0"/>
      <w:i w:val="0"/>
      <w:color w:val="10241B"/>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Barlow SemiBold" w:hAnsi="Barlow SemiBold" w:cs="Barlow SemiBold" w:eastAsia="Barlow SemiBold"/>
      <w:b w:val="0"/>
      <w:bCs/>
      <w:i w:val="0"/>
      <w:color w:val="0B3A2B"/>
      <w:sz w:val="30"/>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Barlow SemiBold" w:hAnsi="Barlow SemiBold" w:cs="Barlow SemiBold" w:eastAsia="Barlow SemiBold"/>
      <w:b w:val="0"/>
      <w:bCs/>
      <w:i w:val="0"/>
      <w:color w:val="0B3A2B"/>
      <w:sz w:val="25"/>
      <w:szCs w:val="26"/>
    </w:rPr>
  </w:style>
  <w:style w:type="paragraph" w:styleId="Heading3">
    <w:name w:val="heading 3"/>
    <w:basedOn w:val="Normal"/>
    <w:next w:val="Normal"/>
    <w:link w:val="Heading3Char"/>
    <w:uiPriority w:val="9"/>
    <w:unhideWhenUsed/>
    <w:qFormat/>
    <w:rsid w:val="00FC693F"/>
    <w:pPr>
      <w:keepNext/>
      <w:keepLines/>
      <w:spacing w:before="180" w:after="40"/>
      <w:outlineLvl w:val="2"/>
    </w:pPr>
    <w:rPr>
      <w:rFonts w:ascii="Barlow SemiBold" w:hAnsi="Barlow SemiBold" w:cs="Barlow SemiBold" w:eastAsia="Barlow SemiBold"/>
      <w:b w:val="0"/>
      <w:bCs/>
      <w:i w:val="0"/>
      <w:color w:val="0B3A2B"/>
      <w:sz w:val="21"/>
    </w:rPr>
  </w:style>
  <w:style w:type="paragraph" w:styleId="Heading4">
    <w:name w:val="heading 4"/>
    <w:basedOn w:val="Normal"/>
    <w:next w:val="Normal"/>
    <w:link w:val="Heading4Char"/>
    <w:uiPriority w:val="9"/>
    <w:semiHidden/>
    <w:unhideWhenUsed/>
    <w:qFormat/>
    <w:rsid w:val="00FC693F"/>
    <w:pPr>
      <w:keepNext/>
      <w:keepLines/>
      <w:spacing w:before="160" w:after="40"/>
      <w:outlineLvl w:val="3"/>
    </w:pPr>
    <w:rPr>
      <w:rFonts w:ascii="Barlow SemiBold" w:hAnsi="Barlow SemiBold" w:cs="Barlow SemiBold" w:eastAsia="Barlow SemiBold"/>
      <w:b w:val="0"/>
      <w:bCs/>
      <w:i w:val="0"/>
      <w:iCs/>
      <w:color w:val="0B3A2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120"/>
      <w:contextualSpacing/>
    </w:pPr>
    <w:rPr>
      <w:rFonts w:ascii="Barlow" w:hAnsi="Barlow" w:cs="Barlow" w:eastAsia="Barlow"/>
      <w:b/>
      <w:i w:val="0"/>
      <w:color w:val="0B3A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Public Sans" w:hAnsi="Public Sans" w:cs="Public Sans" w:eastAsia="Public Sans"/>
      <w:b w:val="0"/>
      <w:i w:val="0"/>
      <w:iCs/>
      <w:color w:val="56685E"/>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Public Sans" w:hAnsi="Public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Public Sans" w:hAnsi="Public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Barlow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ublic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Academy trust</dc:title>
  <dc:subject>Sendix · Based on DPA v1.4, DPIA v0.7 and the controller DPIA sections approved 12 October 2026 · November 2026</dc:subject>
  <dc:creator>Sendix AI Ltd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